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bookmarkStart w:id="0" w:name="_GoBack"/>
      <w:bookmarkEnd w:id="0"/>
    </w:p>
    <w:p w:rsidR="00000000" w:rsidRDefault="00284D8E">
      <w:pPr>
        <w:widowControl w:val="0"/>
        <w:autoSpaceDE w:val="0"/>
        <w:autoSpaceDN w:val="0"/>
        <w:adjustRightInd w:val="0"/>
        <w:spacing w:after="0" w:line="240" w:lineRule="auto"/>
        <w:jc w:val="center"/>
        <w:rPr>
          <w:rFonts w:ascii="NewsGothicMT" w:hAnsi="NewsGothicMT" w:cs="NewsGothicMT"/>
          <w:b/>
          <w:bCs/>
          <w:color w:val="898989"/>
          <w:sz w:val="36"/>
          <w:szCs w:val="36"/>
        </w:rPr>
      </w:pPr>
      <w:r>
        <w:rPr>
          <w:rFonts w:ascii="NewsGothicMT" w:hAnsi="NewsGothicMT" w:cs="NewsGothicMT"/>
          <w:b/>
          <w:bCs/>
          <w:color w:val="898989"/>
          <w:sz w:val="36"/>
          <w:szCs w:val="36"/>
        </w:rPr>
        <w:t>Presenting: Russ Cusack, State Director, North Dakota Combined</w:t>
      </w:r>
    </w:p>
    <w:p w:rsidR="00000000" w:rsidRDefault="00284D8E">
      <w:pPr>
        <w:widowControl w:val="0"/>
        <w:autoSpaceDE w:val="0"/>
        <w:autoSpaceDN w:val="0"/>
        <w:adjustRightInd w:val="0"/>
        <w:spacing w:after="0" w:line="240" w:lineRule="auto"/>
        <w:jc w:val="center"/>
        <w:rPr>
          <w:rFonts w:ascii="NewsGothicMT" w:hAnsi="NewsGothicMT" w:cs="NewsGothicMT"/>
          <w:color w:val="898989"/>
          <w:sz w:val="36"/>
          <w:szCs w:val="36"/>
        </w:rPr>
      </w:pPr>
      <w:r>
        <w:rPr>
          <w:rFonts w:ascii="NewsGothicMT" w:hAnsi="NewsGothicMT" w:cs="NewsGothicMT"/>
          <w:b/>
          <w:bCs/>
          <w:color w:val="898989"/>
          <w:sz w:val="36"/>
          <w:szCs w:val="36"/>
        </w:rPr>
        <w:t>Presenting: Lisa Hatz, State Director, New Hampshire Combined</w:t>
      </w:r>
    </w:p>
    <w:p w:rsidR="00000000" w:rsidRDefault="00284D8E">
      <w:pPr>
        <w:widowControl w:val="0"/>
        <w:autoSpaceDE w:val="0"/>
        <w:autoSpaceDN w:val="0"/>
        <w:adjustRightInd w:val="0"/>
        <w:spacing w:after="0" w:line="240" w:lineRule="auto"/>
        <w:jc w:val="center"/>
        <w:rPr>
          <w:rFonts w:ascii="NewsGothicMT" w:hAnsi="NewsGothicMT" w:cs="NewsGothicMT"/>
          <w:color w:val="898989"/>
          <w:sz w:val="36"/>
          <w:szCs w:val="36"/>
        </w:rPr>
      </w:pPr>
      <w:r>
        <w:rPr>
          <w:rFonts w:ascii="NewsGothicMT" w:hAnsi="NewsGothicMT" w:cs="NewsGothicMT"/>
          <w:color w:val="898989"/>
          <w:sz w:val="36"/>
          <w:szCs w:val="36"/>
        </w:rPr>
        <w:t>11/10/14</w:t>
      </w:r>
    </w:p>
    <w:p w:rsidR="00000000" w:rsidRDefault="00284D8E">
      <w:pPr>
        <w:widowControl w:val="0"/>
        <w:autoSpaceDE w:val="0"/>
        <w:autoSpaceDN w:val="0"/>
        <w:adjustRightInd w:val="0"/>
        <w:spacing w:after="0" w:line="240" w:lineRule="auto"/>
        <w:jc w:val="center"/>
        <w:rPr>
          <w:rFonts w:ascii="NewsGothicMT" w:hAnsi="NewsGothicMT" w:cs="NewsGothicMT"/>
          <w:color w:val="898989"/>
          <w:sz w:val="36"/>
          <w:szCs w:val="36"/>
        </w:rPr>
      </w:pPr>
      <w:r>
        <w:rPr>
          <w:rFonts w:ascii="NewsGothicMT" w:hAnsi="NewsGothicMT" w:cs="NewsGothicMT"/>
          <w:color w:val="898989"/>
          <w:sz w:val="36"/>
          <w:szCs w:val="36"/>
        </w:rPr>
        <w:t>Fall 2014 Conference – Miami FL</w:t>
      </w:r>
    </w:p>
    <w:p w:rsidR="00000000" w:rsidRDefault="00284D8E">
      <w:pPr>
        <w:widowControl w:val="0"/>
        <w:autoSpaceDE w:val="0"/>
        <w:autoSpaceDN w:val="0"/>
        <w:adjustRightInd w:val="0"/>
        <w:spacing w:after="0" w:line="240" w:lineRule="auto"/>
        <w:jc w:val="center"/>
        <w:rPr>
          <w:rFonts w:ascii="NewsGothicMT" w:hAnsi="NewsGothicMT" w:cs="NewsGothicMT"/>
          <w:color w:val="898989"/>
          <w:sz w:val="36"/>
          <w:szCs w:val="36"/>
        </w:rPr>
      </w:pPr>
    </w:p>
    <w:p w:rsidR="00000000" w:rsidRDefault="00284D8E">
      <w:pPr>
        <w:widowControl w:val="0"/>
        <w:autoSpaceDE w:val="0"/>
        <w:autoSpaceDN w:val="0"/>
        <w:adjustRightInd w:val="0"/>
        <w:spacing w:after="0" w:line="240" w:lineRule="auto"/>
        <w:jc w:val="center"/>
        <w:rPr>
          <w:rFonts w:ascii="ArialMT" w:hAnsi="ArialMT" w:cs="ArialMT"/>
          <w:color w:val="2C7C9F"/>
          <w:sz w:val="92"/>
          <w:szCs w:val="92"/>
        </w:rPr>
      </w:pPr>
      <w:r>
        <w:rPr>
          <w:rFonts w:ascii="ArialMT" w:hAnsi="ArialMT" w:cs="ArialMT"/>
          <w:color w:val="2C7C9F"/>
          <w:sz w:val="92"/>
          <w:szCs w:val="92"/>
        </w:rPr>
        <w:t>Purpose (from July 24, 2014 DOE Overview Memo)</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r>
        <w:rPr>
          <w:rFonts w:ascii="ArialMT" w:hAnsi="ArialMT" w:cs="ArialMT"/>
          <w:b/>
          <w:bCs/>
          <w:i/>
          <w:iCs/>
          <w:color w:val="595959"/>
          <w:sz w:val="48"/>
          <w:szCs w:val="48"/>
        </w:rPr>
        <w:t xml:space="preserve">Enhances Accountability: </w:t>
      </w:r>
      <w:r>
        <w:rPr>
          <w:rFonts w:ascii="ArialMT" w:hAnsi="ArialMT" w:cs="ArialMT"/>
          <w:color w:val="595959"/>
          <w:sz w:val="48"/>
          <w:szCs w:val="48"/>
        </w:rPr>
        <w:t xml:space="preserve">WIOA puts a premium on ensuring the accountability of Federal programs. </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r>
        <w:rPr>
          <w:rFonts w:ascii="ArialMT" w:hAnsi="ArialMT" w:cs="ArialMT"/>
          <w:color w:val="595959"/>
          <w:sz w:val="48"/>
          <w:szCs w:val="48"/>
        </w:rPr>
        <w:t>WIOA increases accountability and places stronger emphasis on results through the establishment of common employment outcome measures across core WIOA programs, including the VR progr</w:t>
      </w:r>
      <w:r>
        <w:rPr>
          <w:rFonts w:ascii="ArialMT" w:hAnsi="ArialMT" w:cs="ArialMT"/>
          <w:color w:val="595959"/>
          <w:sz w:val="48"/>
          <w:szCs w:val="48"/>
        </w:rPr>
        <w:t xml:space="preserve">am. </w:t>
      </w:r>
    </w:p>
    <w:p w:rsidR="00000000" w:rsidRDefault="00284D8E">
      <w:pPr>
        <w:widowControl w:val="0"/>
        <w:autoSpaceDE w:val="0"/>
        <w:autoSpaceDN w:val="0"/>
        <w:adjustRightInd w:val="0"/>
        <w:spacing w:after="0" w:line="240" w:lineRule="auto"/>
        <w:ind w:left="550" w:hanging="550"/>
        <w:rPr>
          <w:rFonts w:ascii="NewsGothicMT" w:hAnsi="NewsGothicMT" w:cs="NewsGothicMT"/>
          <w:color w:val="595959"/>
          <w:sz w:val="48"/>
          <w:szCs w:val="48"/>
        </w:rPr>
      </w:pPr>
    </w:p>
    <w:p w:rsidR="00000000" w:rsidRDefault="00284D8E">
      <w:pPr>
        <w:widowControl w:val="0"/>
        <w:autoSpaceDE w:val="0"/>
        <w:autoSpaceDN w:val="0"/>
        <w:adjustRightInd w:val="0"/>
        <w:spacing w:after="0" w:line="240" w:lineRule="auto"/>
        <w:jc w:val="center"/>
        <w:rPr>
          <w:rFonts w:ascii="NewsGothicMT" w:hAnsi="NewsGothicMT" w:cs="NewsGothicMT"/>
          <w:color w:val="2C7C9F"/>
          <w:sz w:val="92"/>
          <w:szCs w:val="92"/>
        </w:rPr>
      </w:pPr>
      <w:r>
        <w:rPr>
          <w:rFonts w:ascii="NewsGothicMT" w:hAnsi="NewsGothicMT" w:cs="NewsGothicMT"/>
          <w:color w:val="2C7C9F"/>
          <w:sz w:val="92"/>
          <w:szCs w:val="92"/>
        </w:rPr>
        <w:t>Purpose Continued</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r>
        <w:rPr>
          <w:rFonts w:ascii="ArialMT" w:hAnsi="ArialMT" w:cs="ArialMT"/>
          <w:color w:val="595959"/>
          <w:sz w:val="48"/>
          <w:szCs w:val="48"/>
        </w:rPr>
        <w:lastRenderedPageBreak/>
        <w:t>In order to promote increased transparency about the outcomes of federal workforce programs, WIOA includes six primary indicators of performance for adults served under programs authorized under the Rehabilitation Act, and six prima</w:t>
      </w:r>
      <w:r>
        <w:rPr>
          <w:rFonts w:ascii="ArialMT" w:hAnsi="ArialMT" w:cs="ArialMT"/>
          <w:color w:val="595959"/>
          <w:sz w:val="48"/>
          <w:szCs w:val="48"/>
        </w:rPr>
        <w:t xml:space="preserve">ry indicators for youth served under the Rehabilitation Act. </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r>
        <w:rPr>
          <w:rFonts w:ascii="ArialMT" w:hAnsi="ArialMT" w:cs="ArialMT"/>
          <w:color w:val="595959"/>
          <w:sz w:val="48"/>
          <w:szCs w:val="48"/>
        </w:rPr>
        <w:t xml:space="preserve">The common outcome measures across core WIOA programs will allow policymakers, program users, and consumers to better understand the value and effectiveness of the services. </w:t>
      </w:r>
    </w:p>
    <w:p w:rsidR="00000000" w:rsidRDefault="00284D8E">
      <w:pPr>
        <w:widowControl w:val="0"/>
        <w:autoSpaceDE w:val="0"/>
        <w:autoSpaceDN w:val="0"/>
        <w:adjustRightInd w:val="0"/>
        <w:spacing w:after="0" w:line="240" w:lineRule="auto"/>
        <w:ind w:left="550" w:hanging="550"/>
        <w:rPr>
          <w:rFonts w:ascii="NewsGothicMT" w:hAnsi="NewsGothicMT" w:cs="NewsGothicMT"/>
          <w:color w:val="595959"/>
          <w:sz w:val="48"/>
          <w:szCs w:val="48"/>
        </w:rPr>
      </w:pPr>
    </w:p>
    <w:p w:rsidR="00000000" w:rsidRDefault="00284D8E">
      <w:pPr>
        <w:widowControl w:val="0"/>
        <w:autoSpaceDE w:val="0"/>
        <w:autoSpaceDN w:val="0"/>
        <w:adjustRightInd w:val="0"/>
        <w:spacing w:after="0" w:line="240" w:lineRule="auto"/>
        <w:jc w:val="center"/>
        <w:rPr>
          <w:rFonts w:ascii="ArialMT" w:hAnsi="ArialMT" w:cs="ArialMT"/>
          <w:color w:val="2C7C9F"/>
          <w:sz w:val="92"/>
          <w:szCs w:val="92"/>
        </w:rPr>
      </w:pPr>
      <w:r>
        <w:rPr>
          <w:rFonts w:ascii="ArialMT" w:hAnsi="ArialMT" w:cs="ArialMT"/>
          <w:color w:val="2C7C9F"/>
          <w:sz w:val="92"/>
          <w:szCs w:val="92"/>
        </w:rPr>
        <w:t>Primary Indicators</w:t>
      </w:r>
      <w:r>
        <w:rPr>
          <w:rFonts w:ascii="ArialMT" w:hAnsi="ArialMT" w:cs="ArialMT"/>
          <w:color w:val="2C7C9F"/>
          <w:sz w:val="92"/>
          <w:szCs w:val="92"/>
        </w:rPr>
        <w:t xml:space="preserve"> of Performance – Adults </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r>
        <w:rPr>
          <w:rFonts w:ascii="ArialMT" w:hAnsi="ArialMT" w:cs="ArialMT"/>
          <w:color w:val="595959"/>
          <w:sz w:val="48"/>
          <w:szCs w:val="48"/>
        </w:rPr>
        <w:t>(I) the percentage of program participants who are in unsubsidized employment during the second quarter after exit from the program;</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r>
        <w:rPr>
          <w:rFonts w:ascii="ArialMT" w:hAnsi="ArialMT" w:cs="ArialMT"/>
          <w:color w:val="595959"/>
          <w:sz w:val="48"/>
          <w:szCs w:val="48"/>
        </w:rPr>
        <w:t xml:space="preserve">(II) the percentage of program participants </w:t>
      </w:r>
      <w:r>
        <w:rPr>
          <w:rFonts w:ascii="ArialMT" w:hAnsi="ArialMT" w:cs="ArialMT"/>
          <w:color w:val="595959"/>
          <w:sz w:val="48"/>
          <w:szCs w:val="48"/>
        </w:rPr>
        <w:lastRenderedPageBreak/>
        <w:t xml:space="preserve">who are in unsubsidized employment during the fourth </w:t>
      </w:r>
      <w:r>
        <w:rPr>
          <w:rFonts w:ascii="ArialMT" w:hAnsi="ArialMT" w:cs="ArialMT"/>
          <w:color w:val="595959"/>
          <w:sz w:val="48"/>
          <w:szCs w:val="48"/>
        </w:rPr>
        <w:t>quarter after exit from the program;</w:t>
      </w:r>
    </w:p>
    <w:p w:rsidR="00000000" w:rsidRDefault="00284D8E">
      <w:pPr>
        <w:widowControl w:val="0"/>
        <w:autoSpaceDE w:val="0"/>
        <w:autoSpaceDN w:val="0"/>
        <w:adjustRightInd w:val="0"/>
        <w:spacing w:after="0" w:line="240" w:lineRule="auto"/>
        <w:ind w:left="550" w:hanging="550"/>
        <w:rPr>
          <w:rFonts w:ascii="NewsGothicMT" w:hAnsi="NewsGothicMT" w:cs="NewsGothicMT"/>
          <w:color w:val="595959"/>
          <w:sz w:val="48"/>
          <w:szCs w:val="48"/>
        </w:rPr>
      </w:pPr>
    </w:p>
    <w:p w:rsidR="00000000" w:rsidRDefault="00284D8E">
      <w:pPr>
        <w:widowControl w:val="0"/>
        <w:autoSpaceDE w:val="0"/>
        <w:autoSpaceDN w:val="0"/>
        <w:adjustRightInd w:val="0"/>
        <w:spacing w:after="0" w:line="240" w:lineRule="auto"/>
        <w:jc w:val="center"/>
        <w:rPr>
          <w:rFonts w:ascii="ArialMT" w:hAnsi="ArialMT" w:cs="ArialMT"/>
          <w:color w:val="2C7C9F"/>
          <w:sz w:val="96"/>
          <w:szCs w:val="96"/>
        </w:rPr>
      </w:pPr>
      <w:r>
        <w:rPr>
          <w:rFonts w:ascii="ArialMT" w:hAnsi="ArialMT" w:cs="ArialMT"/>
          <w:color w:val="2C7C9F"/>
          <w:sz w:val="96"/>
          <w:szCs w:val="96"/>
        </w:rPr>
        <w:t>Adult Performance Continued</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r>
        <w:rPr>
          <w:rFonts w:ascii="ArialMT" w:hAnsi="ArialMT" w:cs="ArialMT"/>
          <w:color w:val="595959"/>
          <w:sz w:val="48"/>
          <w:szCs w:val="48"/>
        </w:rPr>
        <w:t>(III) the median earnings of program participants who are in unsubsidized employment during the second quarter after exit from the program;</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r>
        <w:rPr>
          <w:rFonts w:ascii="ArialMT" w:hAnsi="ArialMT" w:cs="ArialMT"/>
          <w:color w:val="595959"/>
          <w:sz w:val="48"/>
          <w:szCs w:val="48"/>
        </w:rPr>
        <w:t>(IV) the percentage of program participants who ob</w:t>
      </w:r>
      <w:r>
        <w:rPr>
          <w:rFonts w:ascii="ArialMT" w:hAnsi="ArialMT" w:cs="ArialMT"/>
          <w:color w:val="595959"/>
          <w:sz w:val="48"/>
          <w:szCs w:val="48"/>
        </w:rPr>
        <w:t>tain a recognized postsecondary credential, or a secondary school diploma or its recognized equivalent (subject to clause (iii)), during participation in or within 1 year after exit from the program;</w:t>
      </w:r>
    </w:p>
    <w:p w:rsidR="00000000" w:rsidRDefault="00284D8E">
      <w:pPr>
        <w:widowControl w:val="0"/>
        <w:autoSpaceDE w:val="0"/>
        <w:autoSpaceDN w:val="0"/>
        <w:adjustRightInd w:val="0"/>
        <w:spacing w:after="0" w:line="240" w:lineRule="auto"/>
        <w:ind w:left="550" w:hanging="550"/>
        <w:rPr>
          <w:rFonts w:ascii="NewsGothicMT" w:hAnsi="NewsGothicMT" w:cs="NewsGothicMT"/>
          <w:color w:val="595959"/>
          <w:sz w:val="48"/>
          <w:szCs w:val="48"/>
        </w:rPr>
      </w:pPr>
    </w:p>
    <w:p w:rsidR="00000000" w:rsidRDefault="00284D8E">
      <w:pPr>
        <w:widowControl w:val="0"/>
        <w:autoSpaceDE w:val="0"/>
        <w:autoSpaceDN w:val="0"/>
        <w:adjustRightInd w:val="0"/>
        <w:spacing w:after="0" w:line="240" w:lineRule="auto"/>
        <w:jc w:val="center"/>
        <w:rPr>
          <w:rFonts w:ascii="ArialMT" w:hAnsi="ArialMT" w:cs="ArialMT"/>
          <w:color w:val="2C7C9F"/>
          <w:sz w:val="92"/>
          <w:szCs w:val="92"/>
        </w:rPr>
      </w:pPr>
      <w:r>
        <w:rPr>
          <w:rFonts w:ascii="ArialMT" w:hAnsi="ArialMT" w:cs="ArialMT"/>
          <w:color w:val="2C7C9F"/>
          <w:sz w:val="88"/>
          <w:szCs w:val="88"/>
        </w:rPr>
        <w:t xml:space="preserve">Adult Performance </w:t>
      </w:r>
      <w:r>
        <w:rPr>
          <w:rFonts w:ascii="ArialMT" w:hAnsi="ArialMT" w:cs="ArialMT"/>
          <w:color w:val="2C7C9F"/>
          <w:sz w:val="88"/>
          <w:szCs w:val="88"/>
        </w:rPr>
        <w:lastRenderedPageBreak/>
        <w:t>Continued</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r>
        <w:rPr>
          <w:rFonts w:ascii="ArialMT" w:hAnsi="ArialMT" w:cs="ArialMT"/>
          <w:color w:val="595959"/>
          <w:sz w:val="48"/>
          <w:szCs w:val="48"/>
        </w:rPr>
        <w:t>(V) the percentage of progr</w:t>
      </w:r>
      <w:r>
        <w:rPr>
          <w:rFonts w:ascii="ArialMT" w:hAnsi="ArialMT" w:cs="ArialMT"/>
          <w:color w:val="595959"/>
          <w:sz w:val="48"/>
          <w:szCs w:val="48"/>
        </w:rPr>
        <w:t>am participants who, during a program year, are in an education or training program that leads to a recognized postsecondary credential or employment and who are achieving measurable skill gains toward such a credential or employment; and</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r>
        <w:rPr>
          <w:rFonts w:ascii="ArialMT" w:hAnsi="ArialMT" w:cs="ArialMT"/>
          <w:color w:val="595959"/>
          <w:sz w:val="48"/>
          <w:szCs w:val="48"/>
        </w:rPr>
        <w:t xml:space="preserve"> (VI) the indicat</w:t>
      </w:r>
      <w:r>
        <w:rPr>
          <w:rFonts w:ascii="ArialMT" w:hAnsi="ArialMT" w:cs="ArialMT"/>
          <w:color w:val="595959"/>
          <w:sz w:val="48"/>
          <w:szCs w:val="48"/>
        </w:rPr>
        <w:t>ors of effectiveness in serving employers established pursuant to clause (iv).</w:t>
      </w:r>
    </w:p>
    <w:p w:rsidR="00000000" w:rsidRDefault="00284D8E">
      <w:pPr>
        <w:widowControl w:val="0"/>
        <w:autoSpaceDE w:val="0"/>
        <w:autoSpaceDN w:val="0"/>
        <w:adjustRightInd w:val="0"/>
        <w:spacing w:after="0" w:line="240" w:lineRule="auto"/>
        <w:ind w:left="550" w:hanging="550"/>
        <w:rPr>
          <w:rFonts w:ascii="NewsGothicMT" w:hAnsi="NewsGothicMT" w:cs="NewsGothicMT"/>
          <w:color w:val="595959"/>
          <w:sz w:val="48"/>
          <w:szCs w:val="48"/>
        </w:rPr>
      </w:pPr>
    </w:p>
    <w:p w:rsidR="00000000" w:rsidRDefault="00284D8E">
      <w:pPr>
        <w:widowControl w:val="0"/>
        <w:autoSpaceDE w:val="0"/>
        <w:autoSpaceDN w:val="0"/>
        <w:adjustRightInd w:val="0"/>
        <w:spacing w:after="0" w:line="240" w:lineRule="auto"/>
        <w:jc w:val="center"/>
        <w:rPr>
          <w:rFonts w:ascii="ArialMT" w:hAnsi="ArialMT" w:cs="ArialMT"/>
          <w:color w:val="2C7C9F"/>
          <w:sz w:val="92"/>
          <w:szCs w:val="92"/>
        </w:rPr>
      </w:pPr>
      <w:r>
        <w:rPr>
          <w:rFonts w:ascii="ArialMT" w:hAnsi="ArialMT" w:cs="ArialMT"/>
          <w:color w:val="2C7C9F"/>
          <w:sz w:val="92"/>
          <w:szCs w:val="92"/>
        </w:rPr>
        <w:t>Employer Performance Measures</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r>
        <w:rPr>
          <w:rFonts w:ascii="ArialMT" w:hAnsi="ArialMT" w:cs="ArialMT"/>
          <w:color w:val="595959"/>
          <w:sz w:val="48"/>
          <w:szCs w:val="48"/>
        </w:rPr>
        <w:t>(iv) INDICATOR FOR SERVICES TO EMPLOYERS.—</w:t>
      </w:r>
      <w:r>
        <w:rPr>
          <w:rFonts w:ascii="ArialMT" w:hAnsi="ArialMT" w:cs="ArialMT"/>
          <w:color w:val="595959"/>
          <w:sz w:val="48"/>
          <w:szCs w:val="48"/>
        </w:rPr>
        <w:t xml:space="preserve">Prior to the commencement of the second full program year after the date of enactment </w:t>
      </w:r>
      <w:r>
        <w:rPr>
          <w:rFonts w:ascii="ArialMT" w:hAnsi="ArialMT" w:cs="ArialMT"/>
          <w:color w:val="595959"/>
          <w:sz w:val="48"/>
          <w:szCs w:val="48"/>
        </w:rPr>
        <w:lastRenderedPageBreak/>
        <w:t>of this Act, for purposes of clauses (i)(VI), or clause (ii)(III) with respect to clause (i)(IV), the Secretary of Labor and the Secretary of Education, after consultatio</w:t>
      </w:r>
      <w:r>
        <w:rPr>
          <w:rFonts w:ascii="ArialMT" w:hAnsi="ArialMT" w:cs="ArialMT"/>
          <w:color w:val="595959"/>
          <w:sz w:val="48"/>
          <w:szCs w:val="48"/>
        </w:rPr>
        <w:t>n with the representatives described in paragraph (4)(B), shall jointly develop and establish, for purposes of this subparagraph, 1 or more primary indicators of performance that indicate the effectiveness of the core programs in serving employers.</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r>
        <w:rPr>
          <w:rFonts w:ascii="ArialMT" w:hAnsi="ArialMT" w:cs="ArialMT"/>
          <w:color w:val="595959"/>
          <w:sz w:val="48"/>
          <w:szCs w:val="48"/>
        </w:rPr>
        <w:t>(B) ADD</w:t>
      </w:r>
      <w:r>
        <w:rPr>
          <w:rFonts w:ascii="ArialMT" w:hAnsi="ArialMT" w:cs="ArialMT"/>
          <w:color w:val="595959"/>
          <w:sz w:val="48"/>
          <w:szCs w:val="48"/>
        </w:rPr>
        <w:t>ITIONAL INDICATORS.—A State may identify in the State plan additional performance accountability indicators.</w:t>
      </w:r>
    </w:p>
    <w:p w:rsidR="00000000" w:rsidRDefault="00284D8E">
      <w:pPr>
        <w:widowControl w:val="0"/>
        <w:autoSpaceDE w:val="0"/>
        <w:autoSpaceDN w:val="0"/>
        <w:adjustRightInd w:val="0"/>
        <w:spacing w:after="0" w:line="240" w:lineRule="auto"/>
        <w:ind w:left="550" w:hanging="550"/>
        <w:rPr>
          <w:rFonts w:ascii="NewsGothicMT" w:hAnsi="NewsGothicMT" w:cs="NewsGothicMT"/>
          <w:color w:val="595959"/>
          <w:sz w:val="48"/>
          <w:szCs w:val="48"/>
        </w:rPr>
      </w:pPr>
    </w:p>
    <w:p w:rsidR="00000000" w:rsidRDefault="00284D8E">
      <w:pPr>
        <w:widowControl w:val="0"/>
        <w:autoSpaceDE w:val="0"/>
        <w:autoSpaceDN w:val="0"/>
        <w:adjustRightInd w:val="0"/>
        <w:spacing w:after="0" w:line="240" w:lineRule="auto"/>
        <w:jc w:val="center"/>
        <w:rPr>
          <w:rFonts w:ascii="ArialMT" w:hAnsi="ArialMT" w:cs="ArialMT"/>
          <w:color w:val="2C7C9F"/>
          <w:sz w:val="92"/>
          <w:szCs w:val="92"/>
        </w:rPr>
      </w:pPr>
      <w:r>
        <w:rPr>
          <w:rFonts w:ascii="ArialMT" w:hAnsi="ArialMT" w:cs="ArialMT"/>
          <w:color w:val="2C7C9F"/>
          <w:sz w:val="92"/>
          <w:szCs w:val="92"/>
        </w:rPr>
        <w:t>Setting Performance Levels</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rPr>
      </w:pPr>
      <w:r>
        <w:rPr>
          <w:rFonts w:ascii="ArialMT" w:hAnsi="ArialMT" w:cs="ArialMT"/>
          <w:color w:val="595959"/>
          <w:sz w:val="48"/>
          <w:szCs w:val="48"/>
        </w:rPr>
        <w:t xml:space="preserve">RSA has indicated that the specifics of setting “targets” for performance measures will be negotiated after submission </w:t>
      </w:r>
      <w:r>
        <w:rPr>
          <w:rFonts w:ascii="ArialMT" w:hAnsi="ArialMT" w:cs="ArialMT"/>
          <w:color w:val="595959"/>
          <w:sz w:val="48"/>
          <w:szCs w:val="48"/>
        </w:rPr>
        <w:t xml:space="preserve">of the unified state plan to </w:t>
      </w:r>
      <w:r>
        <w:rPr>
          <w:rFonts w:ascii="ArialMT" w:hAnsi="ArialMT" w:cs="ArialMT"/>
          <w:color w:val="595959"/>
          <w:sz w:val="48"/>
          <w:szCs w:val="48"/>
        </w:rPr>
        <w:lastRenderedPageBreak/>
        <w:t>DOE and DOL.</w:t>
      </w:r>
    </w:p>
    <w:p w:rsidR="00000000" w:rsidRDefault="00284D8E">
      <w:pPr>
        <w:widowControl w:val="0"/>
        <w:autoSpaceDE w:val="0"/>
        <w:autoSpaceDN w:val="0"/>
        <w:adjustRightInd w:val="0"/>
        <w:spacing w:after="0" w:line="240" w:lineRule="auto"/>
        <w:jc w:val="center"/>
        <w:rPr>
          <w:rFonts w:ascii="ArialMT" w:hAnsi="ArialMT" w:cs="ArialMT"/>
          <w:color w:val="2C7C9F"/>
          <w:sz w:val="92"/>
          <w:szCs w:val="92"/>
        </w:rPr>
      </w:pPr>
      <w:r>
        <w:rPr>
          <w:rFonts w:ascii="ArialMT" w:hAnsi="ArialMT" w:cs="ArialMT"/>
          <w:color w:val="2C7C9F"/>
          <w:sz w:val="92"/>
          <w:szCs w:val="92"/>
        </w:rPr>
        <w:t>Reporting Requirements</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rPr>
        <w:t>(1) IN GENERAL.—</w:t>
      </w:r>
      <w:r>
        <w:rPr>
          <w:rFonts w:ascii="ArialMT" w:hAnsi="ArialMT" w:cs="ArialMT"/>
          <w:color w:val="595959"/>
          <w:sz w:val="48"/>
          <w:szCs w:val="48"/>
          <w:u w:val="single" w:color="595959"/>
        </w:rPr>
        <w:t xml:space="preserve">Not later than 12 months </w:t>
      </w:r>
      <w:r>
        <w:rPr>
          <w:rFonts w:ascii="ArialMT" w:hAnsi="ArialMT" w:cs="ArialMT"/>
          <w:color w:val="595959"/>
          <w:sz w:val="48"/>
          <w:szCs w:val="48"/>
          <w:u w:color="595959"/>
        </w:rPr>
        <w:t xml:space="preserve">after the date of enactment of this Act, the Secretary of Labor, in conjunction with the Secretary of Education, </w:t>
      </w:r>
      <w:r>
        <w:rPr>
          <w:rFonts w:ascii="ArialMT" w:hAnsi="ArialMT" w:cs="ArialMT"/>
          <w:color w:val="595959"/>
          <w:sz w:val="48"/>
          <w:szCs w:val="48"/>
          <w:u w:val="single" w:color="595959"/>
        </w:rPr>
        <w:t>shall develop a template for performance reports that shall be used by States, local boards, and eligible providers of training services under section 122 to report on outcomes achieved by the core programs.</w:t>
      </w:r>
      <w:r>
        <w:rPr>
          <w:rFonts w:ascii="ArialMT" w:hAnsi="ArialMT" w:cs="ArialMT"/>
          <w:color w:val="595959"/>
          <w:sz w:val="48"/>
          <w:szCs w:val="48"/>
          <w:u w:color="595959"/>
        </w:rPr>
        <w:t xml:space="preserve"> In developing such templates, the Secretary of L</w:t>
      </w:r>
      <w:r>
        <w:rPr>
          <w:rFonts w:ascii="ArialMT" w:hAnsi="ArialMT" w:cs="ArialMT"/>
          <w:color w:val="595959"/>
          <w:sz w:val="48"/>
          <w:szCs w:val="48"/>
          <w:u w:color="595959"/>
        </w:rPr>
        <w:t>abor, in conjunction with the Secretary of Education, will take into account the need to maximize the value of the templates for workers, jobseekers, employers, local elected officials, State officials, Federal policymakers, and other key stakeholders.</w:t>
      </w:r>
    </w:p>
    <w:p w:rsidR="00000000" w:rsidRDefault="00284D8E">
      <w:pPr>
        <w:widowControl w:val="0"/>
        <w:autoSpaceDE w:val="0"/>
        <w:autoSpaceDN w:val="0"/>
        <w:adjustRightInd w:val="0"/>
        <w:spacing w:after="0" w:line="240" w:lineRule="auto"/>
        <w:jc w:val="center"/>
        <w:rPr>
          <w:rFonts w:ascii="ArialMT" w:hAnsi="ArialMT" w:cs="ArialMT"/>
          <w:color w:val="2C7C9F"/>
          <w:sz w:val="92"/>
          <w:szCs w:val="92"/>
          <w:u w:color="595959"/>
        </w:rPr>
      </w:pPr>
      <w:r>
        <w:rPr>
          <w:rFonts w:ascii="ArialMT" w:hAnsi="ArialMT" w:cs="ArialMT"/>
          <w:color w:val="2C7C9F"/>
          <w:sz w:val="92"/>
          <w:szCs w:val="92"/>
          <w:u w:color="595959"/>
        </w:rPr>
        <w:lastRenderedPageBreak/>
        <w:t>Wha</w:t>
      </w:r>
      <w:r>
        <w:rPr>
          <w:rFonts w:ascii="ArialMT" w:hAnsi="ArialMT" w:cs="ArialMT"/>
          <w:color w:val="2C7C9F"/>
          <w:sz w:val="92"/>
          <w:szCs w:val="92"/>
          <w:u w:color="595959"/>
        </w:rPr>
        <w:t>t Will Be Reported?</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Primary Indicator Data</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Total number of participants served by each program</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The number of participants who received career and training services, respectively, during the most recent program year and the 3 preceding program years, and th</w:t>
      </w:r>
      <w:r>
        <w:rPr>
          <w:rFonts w:ascii="ArialMT" w:hAnsi="ArialMT" w:cs="ArialMT"/>
          <w:color w:val="595959"/>
          <w:sz w:val="48"/>
          <w:szCs w:val="48"/>
          <w:u w:color="595959"/>
        </w:rPr>
        <w:t>e amount of funds spent on each type of service;</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The number of participants who exited from career and training services, respectively, during the most recent program year and the 3 preceding program years;</w:t>
      </w:r>
    </w:p>
    <w:p w:rsidR="00000000" w:rsidRDefault="00284D8E">
      <w:pPr>
        <w:widowControl w:val="0"/>
        <w:autoSpaceDE w:val="0"/>
        <w:autoSpaceDN w:val="0"/>
        <w:adjustRightInd w:val="0"/>
        <w:spacing w:after="0" w:line="240" w:lineRule="auto"/>
        <w:ind w:left="550" w:hanging="550"/>
        <w:rPr>
          <w:rFonts w:ascii="NewsGothicMT" w:hAnsi="NewsGothicMT" w:cs="NewsGothicMT"/>
          <w:color w:val="595959"/>
          <w:sz w:val="48"/>
          <w:szCs w:val="48"/>
          <w:u w:color="595959"/>
        </w:rPr>
      </w:pPr>
    </w:p>
    <w:p w:rsidR="00000000" w:rsidRDefault="00284D8E">
      <w:pPr>
        <w:widowControl w:val="0"/>
        <w:autoSpaceDE w:val="0"/>
        <w:autoSpaceDN w:val="0"/>
        <w:adjustRightInd w:val="0"/>
        <w:spacing w:after="0" w:line="240" w:lineRule="auto"/>
        <w:jc w:val="center"/>
        <w:rPr>
          <w:rFonts w:ascii="ArialMT" w:hAnsi="ArialMT" w:cs="ArialMT"/>
          <w:color w:val="2C7C9F"/>
          <w:sz w:val="92"/>
          <w:szCs w:val="92"/>
          <w:u w:color="595959"/>
        </w:rPr>
      </w:pPr>
      <w:r>
        <w:rPr>
          <w:rFonts w:ascii="ArialMT" w:hAnsi="ArialMT" w:cs="ArialMT"/>
          <w:color w:val="2C7C9F"/>
          <w:sz w:val="92"/>
          <w:szCs w:val="92"/>
          <w:u w:color="595959"/>
        </w:rPr>
        <w:t>Reporting Continued</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(F) the average cost per par</w:t>
      </w:r>
      <w:r>
        <w:rPr>
          <w:rFonts w:ascii="ArialMT" w:hAnsi="ArialMT" w:cs="ArialMT"/>
          <w:color w:val="595959"/>
          <w:sz w:val="48"/>
          <w:szCs w:val="48"/>
          <w:u w:color="595959"/>
        </w:rPr>
        <w:t xml:space="preserve">ticipant of those participants who received career and </w:t>
      </w:r>
      <w:r>
        <w:rPr>
          <w:rFonts w:ascii="ArialMT" w:hAnsi="ArialMT" w:cs="ArialMT"/>
          <w:color w:val="595959"/>
          <w:sz w:val="48"/>
          <w:szCs w:val="48"/>
          <w:u w:color="595959"/>
        </w:rPr>
        <w:lastRenderedPageBreak/>
        <w:t>training services, respectively, during the most recent program year and the 3 preceding program years;</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(G) the percentage of participants in a program authorized under this subtitle who received train</w:t>
      </w:r>
      <w:r>
        <w:rPr>
          <w:rFonts w:ascii="ArialMT" w:hAnsi="ArialMT" w:cs="ArialMT"/>
          <w:color w:val="595959"/>
          <w:sz w:val="48"/>
          <w:szCs w:val="48"/>
          <w:u w:color="595959"/>
        </w:rPr>
        <w:t>ing services and obtained unsubsidized employment in a field related to the training received;</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(H) the number of individuals with barriers to employment served by each of the programs described in subsection (b)(3)(A)(ii), disaggregated by each subpopulati</w:t>
      </w:r>
      <w:r>
        <w:rPr>
          <w:rFonts w:ascii="ArialMT" w:hAnsi="ArialMT" w:cs="ArialMT"/>
          <w:color w:val="595959"/>
          <w:sz w:val="48"/>
          <w:szCs w:val="48"/>
          <w:u w:color="595959"/>
        </w:rPr>
        <w:t>on of such individuals;</w:t>
      </w:r>
    </w:p>
    <w:p w:rsidR="00000000" w:rsidRDefault="00284D8E">
      <w:pPr>
        <w:widowControl w:val="0"/>
        <w:autoSpaceDE w:val="0"/>
        <w:autoSpaceDN w:val="0"/>
        <w:adjustRightInd w:val="0"/>
        <w:spacing w:after="0" w:line="240" w:lineRule="auto"/>
        <w:jc w:val="center"/>
        <w:rPr>
          <w:rFonts w:ascii="ArialMT" w:hAnsi="ArialMT" w:cs="ArialMT"/>
          <w:color w:val="2C7C9F"/>
          <w:sz w:val="92"/>
          <w:szCs w:val="92"/>
          <w:u w:color="595959"/>
        </w:rPr>
      </w:pPr>
      <w:r>
        <w:rPr>
          <w:rFonts w:ascii="ArialMT" w:hAnsi="ArialMT" w:cs="ArialMT"/>
          <w:color w:val="2C7C9F"/>
          <w:sz w:val="92"/>
          <w:szCs w:val="92"/>
          <w:u w:color="595959"/>
        </w:rPr>
        <w:t>Reporting Continued</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(I) the number of participants who are enrolled in more than 1 of the programs described in subsection (b)(3)(A)(ii);</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(J) the percentage of the State’s annual allotment under section 132(b) that the State spent o</w:t>
      </w:r>
      <w:r>
        <w:rPr>
          <w:rFonts w:ascii="ArialMT" w:hAnsi="ArialMT" w:cs="ArialMT"/>
          <w:color w:val="595959"/>
          <w:sz w:val="48"/>
          <w:szCs w:val="48"/>
          <w:u w:color="595959"/>
        </w:rPr>
        <w:t>n administrative costs;</w:t>
      </w:r>
    </w:p>
    <w:p w:rsidR="00000000" w:rsidRDefault="00284D8E">
      <w:pPr>
        <w:widowControl w:val="0"/>
        <w:autoSpaceDE w:val="0"/>
        <w:autoSpaceDN w:val="0"/>
        <w:adjustRightInd w:val="0"/>
        <w:spacing w:after="0" w:line="240" w:lineRule="auto"/>
        <w:jc w:val="center"/>
        <w:rPr>
          <w:rFonts w:ascii="ArialMT" w:hAnsi="ArialMT" w:cs="ArialMT"/>
          <w:color w:val="2C7C9F"/>
          <w:sz w:val="92"/>
          <w:szCs w:val="92"/>
          <w:u w:color="595959"/>
        </w:rPr>
      </w:pPr>
      <w:r>
        <w:rPr>
          <w:rFonts w:ascii="ArialMT" w:hAnsi="ArialMT" w:cs="ArialMT"/>
          <w:color w:val="2C7C9F"/>
          <w:sz w:val="92"/>
          <w:szCs w:val="92"/>
          <w:u w:color="595959"/>
        </w:rPr>
        <w:t>Reporting Continued</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lastRenderedPageBreak/>
        <w:t>(K) in the case of a State in which local areas are implementing pay-for-performance contract strategies for programs—</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(i) the performance of service providers entering (i) the performance of service providers en</w:t>
      </w:r>
      <w:r>
        <w:rPr>
          <w:rFonts w:ascii="ArialMT" w:hAnsi="ArialMT" w:cs="ArialMT"/>
          <w:color w:val="595959"/>
          <w:sz w:val="48"/>
          <w:szCs w:val="48"/>
          <w:u w:color="595959"/>
        </w:rPr>
        <w:t>tering into contracts for such strategies, measured against the levels of performance specified in the contracts for such strategies; and</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 xml:space="preserve">(ii) an evaluation of the design of the programs and performance of the strategies, and, where possible, the level of </w:t>
      </w:r>
      <w:r>
        <w:rPr>
          <w:rFonts w:ascii="ArialMT" w:hAnsi="ArialMT" w:cs="ArialMT"/>
          <w:color w:val="595959"/>
          <w:sz w:val="48"/>
          <w:szCs w:val="48"/>
          <w:u w:color="595959"/>
        </w:rPr>
        <w:t>satisfaction with the strategies among employers and participants benefitting from the strategies; and</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(L) other information that facilitates comparisons ofprograms with programs in other States.</w:t>
      </w:r>
    </w:p>
    <w:p w:rsidR="00000000" w:rsidRDefault="00284D8E">
      <w:pPr>
        <w:widowControl w:val="0"/>
        <w:autoSpaceDE w:val="0"/>
        <w:autoSpaceDN w:val="0"/>
        <w:adjustRightInd w:val="0"/>
        <w:spacing w:after="0" w:line="240" w:lineRule="auto"/>
        <w:rPr>
          <w:rFonts w:ascii="NewsGothicMT" w:hAnsi="NewsGothicMT" w:cs="NewsGothicMT"/>
          <w:color w:val="595959"/>
          <w:sz w:val="48"/>
          <w:szCs w:val="48"/>
          <w:u w:color="595959"/>
        </w:rPr>
      </w:pPr>
    </w:p>
    <w:p w:rsidR="00000000" w:rsidRDefault="00284D8E">
      <w:pPr>
        <w:widowControl w:val="0"/>
        <w:autoSpaceDE w:val="0"/>
        <w:autoSpaceDN w:val="0"/>
        <w:adjustRightInd w:val="0"/>
        <w:spacing w:after="0" w:line="240" w:lineRule="auto"/>
        <w:jc w:val="center"/>
        <w:rPr>
          <w:rFonts w:ascii="ArialMT" w:hAnsi="ArialMT" w:cs="ArialMT"/>
          <w:color w:val="2C7C9F"/>
          <w:sz w:val="96"/>
          <w:szCs w:val="96"/>
          <w:u w:color="595959"/>
        </w:rPr>
      </w:pPr>
      <w:r>
        <w:rPr>
          <w:rFonts w:ascii="ArialMT" w:hAnsi="ArialMT" w:cs="ArialMT"/>
          <w:color w:val="2C7C9F"/>
          <w:sz w:val="96"/>
          <w:szCs w:val="96"/>
          <w:u w:color="595959"/>
        </w:rPr>
        <w:t xml:space="preserve">Additional Statute </w:t>
      </w:r>
      <w:r>
        <w:rPr>
          <w:rFonts w:ascii="ArialMT" w:hAnsi="ArialMT" w:cs="ArialMT"/>
          <w:color w:val="2C7C9F"/>
          <w:sz w:val="96"/>
          <w:szCs w:val="96"/>
          <w:u w:color="595959"/>
        </w:rPr>
        <w:lastRenderedPageBreak/>
        <w:t>Language</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(f) SANCTIONS FOR STATE FAILURE TO MEET STATE PERFORMANCE ACCOUNTABILITY MEASURES.—</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 xml:space="preserve"> (1) STATES.— </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(A) TECHNICAL ASSISTANCE.—If a State fails to meet the State adjusted levels of performance relating to indicators described in</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subsection (b)(2)(A) for a pr</w:t>
      </w:r>
      <w:r>
        <w:rPr>
          <w:rFonts w:ascii="ArialMT" w:hAnsi="ArialMT" w:cs="ArialMT"/>
          <w:color w:val="595959"/>
          <w:sz w:val="48"/>
          <w:szCs w:val="48"/>
          <w:u w:color="595959"/>
        </w:rPr>
        <w:t>ogram for any program year, the Secretary of Labor and the Secretary of Education shall provide technical assistance, including assistance in the development of a performance improvement plan.</w:t>
      </w:r>
    </w:p>
    <w:p w:rsidR="00000000" w:rsidRDefault="00284D8E">
      <w:pPr>
        <w:widowControl w:val="0"/>
        <w:autoSpaceDE w:val="0"/>
        <w:autoSpaceDN w:val="0"/>
        <w:adjustRightInd w:val="0"/>
        <w:spacing w:after="0" w:line="240" w:lineRule="auto"/>
        <w:ind w:left="550" w:hanging="550"/>
        <w:rPr>
          <w:rFonts w:ascii="NewsGothicMT" w:hAnsi="NewsGothicMT" w:cs="NewsGothicMT"/>
          <w:color w:val="595959"/>
          <w:sz w:val="48"/>
          <w:szCs w:val="48"/>
          <w:u w:color="595959"/>
        </w:rPr>
      </w:pPr>
    </w:p>
    <w:p w:rsidR="00000000" w:rsidRDefault="00284D8E">
      <w:pPr>
        <w:widowControl w:val="0"/>
        <w:autoSpaceDE w:val="0"/>
        <w:autoSpaceDN w:val="0"/>
        <w:adjustRightInd w:val="0"/>
        <w:spacing w:after="0" w:line="240" w:lineRule="auto"/>
        <w:jc w:val="center"/>
        <w:rPr>
          <w:rFonts w:ascii="NewsGothicMT" w:hAnsi="NewsGothicMT" w:cs="NewsGothicMT"/>
          <w:color w:val="2C7C9F"/>
          <w:sz w:val="92"/>
          <w:szCs w:val="92"/>
          <w:u w:color="595959"/>
        </w:rPr>
      </w:pPr>
      <w:r>
        <w:rPr>
          <w:rFonts w:ascii="ArialMT" w:hAnsi="ArialMT" w:cs="ArialMT"/>
          <w:color w:val="2C7C9F"/>
          <w:sz w:val="88"/>
          <w:szCs w:val="88"/>
          <w:u w:color="595959"/>
        </w:rPr>
        <w:t>Additional Statute Language</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(B) REDUCTION IN AMOUNT OF GRANT.—</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lastRenderedPageBreak/>
        <w:t>If such failure continues for a second consecutive year, or (except in the case of exceptional circumstances as determined by the Secretary of Labor or the Secretary of Education, as appropriate) a State fails to submit a report under subsection (d) for a</w:t>
      </w:r>
      <w:r>
        <w:rPr>
          <w:rFonts w:ascii="ArialMT" w:hAnsi="ArialMT" w:cs="ArialMT"/>
          <w:color w:val="595959"/>
          <w:sz w:val="48"/>
          <w:szCs w:val="48"/>
          <w:u w:color="595959"/>
        </w:rPr>
        <w:t>ny program year, the percentage of each amount that would (in the absence of this paragraph) be reserved by the Governor under section 128(a) for the immediately succeeding program year shall be reduced by 5 percentage points until such date as the Secreta</w:t>
      </w:r>
      <w:r>
        <w:rPr>
          <w:rFonts w:ascii="ArialMT" w:hAnsi="ArialMT" w:cs="ArialMT"/>
          <w:color w:val="595959"/>
          <w:sz w:val="48"/>
          <w:szCs w:val="48"/>
          <w:u w:color="595959"/>
        </w:rPr>
        <w:t>ry of Labor or the Secretary of Education, as appropriate, determines that the State meets such State adjusted levels of performance and has submitted such reports for the appropriate program years.</w:t>
      </w:r>
    </w:p>
    <w:p w:rsidR="00000000" w:rsidRDefault="00284D8E">
      <w:pPr>
        <w:widowControl w:val="0"/>
        <w:autoSpaceDE w:val="0"/>
        <w:autoSpaceDN w:val="0"/>
        <w:adjustRightInd w:val="0"/>
        <w:spacing w:after="0" w:line="240" w:lineRule="auto"/>
        <w:ind w:left="550" w:hanging="550"/>
        <w:rPr>
          <w:rFonts w:ascii="NewsGothicMT" w:hAnsi="NewsGothicMT" w:cs="NewsGothicMT"/>
          <w:color w:val="595959"/>
          <w:sz w:val="48"/>
          <w:szCs w:val="48"/>
          <w:u w:color="595959"/>
        </w:rPr>
      </w:pPr>
    </w:p>
    <w:p w:rsidR="00000000" w:rsidRDefault="00284D8E">
      <w:pPr>
        <w:widowControl w:val="0"/>
        <w:autoSpaceDE w:val="0"/>
        <w:autoSpaceDN w:val="0"/>
        <w:adjustRightInd w:val="0"/>
        <w:spacing w:after="0" w:line="240" w:lineRule="auto"/>
        <w:jc w:val="center"/>
        <w:rPr>
          <w:rFonts w:ascii="ArialMT" w:hAnsi="ArialMT" w:cs="ArialMT"/>
          <w:color w:val="2C7C9F"/>
          <w:sz w:val="92"/>
          <w:szCs w:val="92"/>
          <w:u w:color="595959"/>
        </w:rPr>
      </w:pPr>
      <w:r>
        <w:rPr>
          <w:rFonts w:ascii="ArialMT" w:hAnsi="ArialMT" w:cs="ArialMT"/>
          <w:color w:val="2C7C9F"/>
          <w:sz w:val="92"/>
          <w:szCs w:val="92"/>
          <w:u w:color="595959"/>
        </w:rPr>
        <w:t>More to Come</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lastRenderedPageBreak/>
        <w:t>RSA will continue to share technical assist</w:t>
      </w:r>
      <w:r>
        <w:rPr>
          <w:rFonts w:ascii="ArialMT" w:hAnsi="ArialMT" w:cs="ArialMT"/>
          <w:color w:val="595959"/>
          <w:sz w:val="48"/>
          <w:szCs w:val="48"/>
          <w:u w:color="595959"/>
        </w:rPr>
        <w:t>ance with the VR programs</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CSAVR will utilize more opportunities to share information as it is gathered to inform members</w:t>
      </w:r>
    </w:p>
    <w:p w:rsidR="00000000" w:rsidRDefault="00284D8E">
      <w:pPr>
        <w:widowControl w:val="0"/>
        <w:autoSpaceDE w:val="0"/>
        <w:autoSpaceDN w:val="0"/>
        <w:adjustRightInd w:val="0"/>
        <w:spacing w:after="0" w:line="240" w:lineRule="auto"/>
        <w:rPr>
          <w:rFonts w:ascii="NewsGothicMT" w:hAnsi="NewsGothicMT" w:cs="NewsGothicMT"/>
          <w:color w:val="595959"/>
          <w:sz w:val="48"/>
          <w:szCs w:val="48"/>
          <w:u w:color="595959"/>
        </w:rPr>
      </w:pPr>
    </w:p>
    <w:p w:rsidR="00000000" w:rsidRDefault="00284D8E">
      <w:pPr>
        <w:widowControl w:val="0"/>
        <w:autoSpaceDE w:val="0"/>
        <w:autoSpaceDN w:val="0"/>
        <w:adjustRightInd w:val="0"/>
        <w:spacing w:after="0" w:line="240" w:lineRule="auto"/>
        <w:jc w:val="center"/>
        <w:rPr>
          <w:rFonts w:ascii="ArialMT" w:hAnsi="ArialMT" w:cs="ArialMT"/>
          <w:color w:val="2C7C9F"/>
          <w:sz w:val="92"/>
          <w:szCs w:val="92"/>
          <w:u w:color="595959"/>
        </w:rPr>
      </w:pPr>
      <w:r>
        <w:rPr>
          <w:rFonts w:ascii="ArialMT" w:hAnsi="ArialMT" w:cs="ArialMT"/>
          <w:color w:val="2C7C9F"/>
          <w:sz w:val="92"/>
          <w:szCs w:val="92"/>
          <w:u w:color="595959"/>
        </w:rPr>
        <w:t>Questions???</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What are your initial questions on performance accountabilities?</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Let’s gather them…</w:t>
      </w:r>
    </w:p>
    <w:p w:rsidR="00000000" w:rsidRDefault="00284D8E">
      <w:pPr>
        <w:widowControl w:val="0"/>
        <w:autoSpaceDE w:val="0"/>
        <w:autoSpaceDN w:val="0"/>
        <w:adjustRightInd w:val="0"/>
        <w:spacing w:after="0" w:line="240" w:lineRule="auto"/>
        <w:jc w:val="center"/>
        <w:rPr>
          <w:rFonts w:ascii="ArialMT" w:hAnsi="ArialMT" w:cs="ArialMT"/>
          <w:color w:val="2C7C9F"/>
          <w:sz w:val="92"/>
          <w:szCs w:val="92"/>
          <w:u w:color="595959"/>
        </w:rPr>
      </w:pPr>
      <w:r>
        <w:rPr>
          <w:rFonts w:ascii="ArialMT" w:hAnsi="ArialMT" w:cs="ArialMT"/>
          <w:color w:val="2C7C9F"/>
          <w:sz w:val="92"/>
          <w:szCs w:val="92"/>
          <w:u w:color="595959"/>
        </w:rPr>
        <w:t>Contact Information</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Russ Cusack</w:t>
      </w:r>
    </w:p>
    <w:p w:rsidR="00000000" w:rsidRDefault="00284D8E">
      <w:pPr>
        <w:widowControl w:val="0"/>
        <w:autoSpaceDE w:val="0"/>
        <w:autoSpaceDN w:val="0"/>
        <w:adjustRightInd w:val="0"/>
        <w:spacing w:after="0" w:line="240" w:lineRule="auto"/>
        <w:ind w:left="1080" w:hanging="530"/>
        <w:rPr>
          <w:rFonts w:ascii="ArialMT" w:hAnsi="ArialMT" w:cs="ArialMT"/>
          <w:color w:val="595959"/>
          <w:sz w:val="44"/>
          <w:szCs w:val="44"/>
          <w:u w:color="595959"/>
        </w:rPr>
      </w:pPr>
      <w:r>
        <w:rPr>
          <w:rFonts w:ascii="ArialMT" w:hAnsi="ArialMT" w:cs="ArialMT"/>
          <w:color w:val="595959"/>
          <w:sz w:val="44"/>
          <w:szCs w:val="44"/>
          <w:u w:val="single" w:color="595959"/>
        </w:rPr>
        <w:t>rcusa</w:t>
      </w:r>
      <w:r>
        <w:rPr>
          <w:rFonts w:ascii="ArialMT" w:hAnsi="ArialMT" w:cs="ArialMT"/>
          <w:color w:val="595959"/>
          <w:sz w:val="44"/>
          <w:szCs w:val="44"/>
          <w:u w:val="single" w:color="595959"/>
        </w:rPr>
        <w:t>ck@nd.gov</w:t>
      </w:r>
    </w:p>
    <w:p w:rsidR="00000000" w:rsidRDefault="00284D8E">
      <w:pPr>
        <w:widowControl w:val="0"/>
        <w:autoSpaceDE w:val="0"/>
        <w:autoSpaceDN w:val="0"/>
        <w:adjustRightInd w:val="0"/>
        <w:spacing w:after="0" w:line="240" w:lineRule="auto"/>
        <w:ind w:left="550" w:hanging="550"/>
        <w:rPr>
          <w:rFonts w:ascii="ArialMT" w:hAnsi="ArialMT" w:cs="ArialMT"/>
          <w:color w:val="595959"/>
          <w:sz w:val="48"/>
          <w:szCs w:val="48"/>
          <w:u w:color="595959"/>
        </w:rPr>
      </w:pPr>
      <w:r>
        <w:rPr>
          <w:rFonts w:ascii="ArialMT" w:hAnsi="ArialMT" w:cs="ArialMT"/>
          <w:color w:val="595959"/>
          <w:sz w:val="48"/>
          <w:szCs w:val="48"/>
          <w:u w:color="595959"/>
        </w:rPr>
        <w:t>Lisa Hatz</w:t>
      </w:r>
    </w:p>
    <w:p w:rsidR="00000000" w:rsidRDefault="00284D8E">
      <w:pPr>
        <w:widowControl w:val="0"/>
        <w:autoSpaceDE w:val="0"/>
        <w:autoSpaceDN w:val="0"/>
        <w:adjustRightInd w:val="0"/>
        <w:spacing w:after="0" w:line="240" w:lineRule="auto"/>
        <w:ind w:left="1080" w:hanging="530"/>
        <w:rPr>
          <w:rFonts w:ascii="ArialMT" w:hAnsi="ArialMT" w:cs="ArialMT"/>
          <w:color w:val="595959"/>
          <w:sz w:val="44"/>
          <w:szCs w:val="44"/>
          <w:u w:color="595959"/>
        </w:rPr>
      </w:pPr>
      <w:r>
        <w:rPr>
          <w:rFonts w:ascii="ArialMT" w:hAnsi="ArialMT" w:cs="ArialMT"/>
          <w:color w:val="595959"/>
          <w:sz w:val="44"/>
          <w:szCs w:val="44"/>
          <w:u w:val="single" w:color="595959"/>
        </w:rPr>
        <w:t>Lisa.hatz@doe.nh.gov</w:t>
      </w:r>
    </w:p>
    <w:p w:rsidR="00284D8E" w:rsidRDefault="00284D8E">
      <w:pPr>
        <w:widowControl w:val="0"/>
        <w:autoSpaceDE w:val="0"/>
        <w:autoSpaceDN w:val="0"/>
        <w:adjustRightInd w:val="0"/>
        <w:spacing w:after="0" w:line="240" w:lineRule="auto"/>
        <w:jc w:val="center"/>
        <w:rPr>
          <w:rFonts w:ascii="ArialMT" w:hAnsi="ArialMT" w:cs="ArialMT"/>
          <w:color w:val="2C7C9F"/>
          <w:sz w:val="92"/>
          <w:szCs w:val="92"/>
          <w:u w:color="595959"/>
        </w:rPr>
      </w:pPr>
      <w:r>
        <w:rPr>
          <w:rFonts w:ascii="ArialMT" w:hAnsi="ArialMT" w:cs="ArialMT"/>
          <w:color w:val="2C7C9F"/>
          <w:sz w:val="92"/>
          <w:szCs w:val="92"/>
          <w:u w:color="595959"/>
        </w:rPr>
        <w:t>Thank you</w:t>
      </w:r>
    </w:p>
    <w:sectPr w:rsidR="00284D8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NewsGoth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9BD"/>
    <w:rsid w:val="00284D8E"/>
    <w:rsid w:val="0032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FCDD3F-9ED3-4148-8F65-9A8C63E7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Guest</dc:creator>
  <cp:keywords/>
  <dc:description/>
  <cp:lastModifiedBy>Danielle Guest</cp:lastModifiedBy>
  <cp:revision>2</cp:revision>
  <dcterms:created xsi:type="dcterms:W3CDTF">2017-05-29T20:28:00Z</dcterms:created>
  <dcterms:modified xsi:type="dcterms:W3CDTF">2017-05-29T20:28:00Z</dcterms:modified>
</cp:coreProperties>
</file>